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hanging="0" w:left="0"/>
        <w:outlineLvl w:val="4"/>
        <w:rPr>
          <w:rFonts w:ascii="Times New Roman" w:hAnsi="Times New Roman" w:eastAsia="Times New Roman" w:cs="Times New Roman"/>
          <w:b/>
          <w:bCs/>
          <w:i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iCs/>
          <w:kern w:val="0"/>
          <w:sz w:val="24"/>
          <w:szCs w:val="24"/>
          <w:lang w:eastAsia="pl-PL"/>
          <w14:ligatures w14:val="none"/>
        </w:rPr>
        <w:t>Załącznik nr 2 do zapytania ofertowego – wzór umowy</w:t>
      </w:r>
    </w:p>
    <w:p>
      <w:pPr>
        <w:pStyle w:val="Normal"/>
        <w:tabs>
          <w:tab w:val="clear" w:pos="708"/>
          <w:tab w:val="left" w:pos="2160" w:leader="dot"/>
          <w:tab w:val="left" w:pos="9752" w:leader="dot"/>
        </w:tabs>
        <w:spacing w:lineRule="auto" w:line="276" w:before="0" w:after="0"/>
        <w:contextualSpacing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tabs>
          <w:tab w:val="clear" w:pos="708"/>
          <w:tab w:val="left" w:pos="2160" w:leader="dot"/>
          <w:tab w:val="left" w:pos="9752" w:leader="dot"/>
        </w:tabs>
        <w:spacing w:lineRule="auto" w:line="276" w:before="0" w:after="0"/>
        <w:contextualSpacing/>
        <w:jc w:val="center"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tabs>
          <w:tab w:val="clear" w:pos="708"/>
          <w:tab w:val="left" w:pos="2160" w:leader="dot"/>
          <w:tab w:val="left" w:pos="9752" w:leader="dot"/>
        </w:tabs>
        <w:spacing w:lineRule="auto" w:line="276" w:before="0" w:after="0"/>
        <w:contextualSpacing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  <w:t>UMOWA  NR  …………………</w:t>
      </w:r>
    </w:p>
    <w:p>
      <w:pPr>
        <w:pStyle w:val="Normal"/>
        <w:spacing w:lineRule="auto" w:line="276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0" w:after="12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zawarta w dniu ……… 2026 r. w Mońkach pomiędzy: 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kern w:val="0"/>
          <w:sz w:val="24"/>
          <w:szCs w:val="20"/>
          <w:lang w:eastAsia="pl-PL"/>
          <w14:ligatures w14:val="none"/>
        </w:rPr>
      </w:pPr>
      <w:bookmarkStart w:id="0" w:name="_Hlk180314361"/>
      <w:r>
        <w:rPr>
          <w:rFonts w:eastAsia="Times New Roman" w:cs="Times New Roman" w:ascii="Times New Roman" w:hAnsi="Times New Roman"/>
          <w:b/>
          <w:kern w:val="0"/>
          <w:sz w:val="24"/>
          <w:szCs w:val="20"/>
          <w:lang w:eastAsia="pl-PL"/>
          <w14:ligatures w14:val="none"/>
        </w:rPr>
        <w:t xml:space="preserve">Powiatowym Inspektoratem Weterynarii w </w:t>
      </w:r>
      <w:bookmarkStart w:id="1" w:name="_Hlk216336644"/>
      <w:r>
        <w:rPr>
          <w:rFonts w:eastAsia="Times New Roman" w:cs="Times New Roman" w:ascii="Times New Roman" w:hAnsi="Times New Roman"/>
          <w:b/>
          <w:kern w:val="0"/>
          <w:sz w:val="24"/>
          <w:szCs w:val="20"/>
          <w:lang w:eastAsia="pl-PL"/>
          <w14:ligatures w14:val="none"/>
        </w:rPr>
        <w:t>Mońkach</w:t>
      </w:r>
      <w:bookmarkEnd w:id="1"/>
      <w:r>
        <w:rPr>
          <w:rFonts w:eastAsia="Times New Roman" w:cs="Times New Roman" w:ascii="Times New Roman" w:hAnsi="Times New Roman"/>
          <w:bCs/>
          <w:kern w:val="0"/>
          <w:sz w:val="24"/>
          <w:szCs w:val="20"/>
          <w:lang w:eastAsia="pl-PL"/>
          <w14:ligatures w14:val="none"/>
        </w:rPr>
        <w:t xml:space="preserve">, </w:t>
      </w:r>
      <w:bookmarkEnd w:id="0"/>
      <w:r>
        <w:rPr>
          <w:rFonts w:eastAsia="Times New Roman" w:cs="Times New Roman" w:ascii="Times New Roman" w:hAnsi="Times New Roman"/>
          <w:bCs/>
          <w:kern w:val="0"/>
          <w:sz w:val="24"/>
          <w:szCs w:val="20"/>
          <w:lang w:eastAsia="pl-PL"/>
          <w14:ligatures w14:val="none"/>
        </w:rPr>
        <w:t>ul. Juliusza Słowackiego 14, 19-100 Mońki, REGON 450708101, NIP 546-12-10-666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, reprezentowanym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 xml:space="preserve">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</w:t>
      </w:r>
      <w:r>
        <w:rPr>
          <w:rFonts w:eastAsia="Times New Roman" w:cs="Times New Roman" w:ascii="Times New Roman" w:hAnsi="Times New Roman"/>
          <w:kern w:val="0"/>
          <w:sz w:val="24"/>
          <w:szCs w:val="20"/>
          <w:lang w:eastAsia="pl-PL"/>
          <w14:ligatures w14:val="none"/>
        </w:rPr>
        <w:t>z:</w:t>
      </w:r>
    </w:p>
    <w:p>
      <w:pPr>
        <w:pStyle w:val="Normal"/>
        <w:suppressAutoHyphens w:val="true"/>
        <w:spacing w:lineRule="auto" w:line="276" w:before="0" w:after="120"/>
        <w:jc w:val="both"/>
        <w:rPr>
          <w:rFonts w:ascii="Times New Roman" w:hAnsi="Times New Roman" w:eastAsia="Times New Roman" w:cs="Times New Roman"/>
          <w:bCs/>
          <w:kern w:val="0"/>
          <w:sz w:val="24"/>
          <w:szCs w:val="20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0"/>
          <w:lang w:eastAsia="pl-PL"/>
          <w14:ligatures w14:val="none"/>
        </w:rPr>
        <w:t>Monikę Marię Stelmach – Powiatowego Lekarza Weterynarii w Mońkach</w:t>
      </w:r>
    </w:p>
    <w:p>
      <w:pPr>
        <w:pStyle w:val="Normal"/>
        <w:widowControl w:val="false"/>
        <w:spacing w:lineRule="exact" w:line="307" w:before="0" w:after="120"/>
        <w:ind w:right="1"/>
        <w:rPr>
          <w:rFonts w:ascii="Times New Roman" w:hAnsi="Times New Roman" w:eastAsia="Times New Roman" w:cs="Times New Roman"/>
          <w:i/>
          <w:i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zwanym w treści umowy 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Zamawiającym</w:t>
      </w:r>
      <w:r>
        <w:rPr>
          <w:rFonts w:eastAsia="Times New Roman" w:cs="Times New Roman" w:ascii="Times New Roman" w:hAnsi="Times New Roman"/>
          <w:i/>
          <w:kern w:val="0"/>
          <w:sz w:val="24"/>
          <w:szCs w:val="24"/>
          <w:lang w:eastAsia="pl-PL"/>
          <w14:ligatures w14:val="none"/>
        </w:rPr>
        <w:t xml:space="preserve">, </w:t>
      </w:r>
    </w:p>
    <w:p>
      <w:pPr>
        <w:pStyle w:val="Normal"/>
        <w:tabs>
          <w:tab w:val="clear" w:pos="708"/>
          <w:tab w:val="left" w:pos="4678" w:leader="dot"/>
          <w:tab w:val="right" w:pos="9720" w:leader="dot"/>
        </w:tabs>
        <w:spacing w:lineRule="auto" w:line="276" w:before="120" w:after="12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a</w:t>
      </w:r>
    </w:p>
    <w:p>
      <w:pPr>
        <w:pStyle w:val="Normal"/>
        <w:tabs>
          <w:tab w:val="clear" w:pos="708"/>
          <w:tab w:val="left" w:pos="4678" w:leader="dot"/>
          <w:tab w:val="right" w:pos="9720" w:leader="dot"/>
        </w:tabs>
        <w:spacing w:lineRule="auto" w:line="276" w:before="120" w:after="12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………………………………………………………………………………………………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reprezentowanym przez:</w:t>
      </w:r>
    </w:p>
    <w:p>
      <w:pPr>
        <w:pStyle w:val="Normal"/>
        <w:tabs>
          <w:tab w:val="clear" w:pos="708"/>
          <w:tab w:val="left" w:pos="4678" w:leader="dot"/>
          <w:tab w:val="right" w:pos="9720" w:leader="dot"/>
        </w:tabs>
        <w:spacing w:lineRule="auto" w:line="276" w:before="120" w:after="120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..</w:t>
      </w:r>
    </w:p>
    <w:p>
      <w:pPr>
        <w:pStyle w:val="Normal"/>
        <w:tabs>
          <w:tab w:val="clear" w:pos="708"/>
          <w:tab w:val="right" w:pos="9720" w:leader="dot"/>
        </w:tabs>
        <w:spacing w:lineRule="auto" w:line="276" w:before="0" w:after="12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zwanym w treści umowy 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Wykonawcą</w:t>
      </w:r>
      <w:r>
        <w:rPr>
          <w:rFonts w:eastAsia="Times New Roman" w:cs="Times New Roman" w:ascii="Times New Roman" w:hAnsi="Times New Roman"/>
          <w:i/>
          <w:kern w:val="0"/>
          <w:sz w:val="24"/>
          <w:szCs w:val="24"/>
          <w:lang w:eastAsia="pl-PL"/>
          <w14:ligatures w14:val="none"/>
        </w:rPr>
        <w:t>.</w:t>
      </w:r>
    </w:p>
    <w:p>
      <w:pPr>
        <w:pStyle w:val="Normal"/>
        <w:spacing w:lineRule="auto" w:line="276" w:before="0" w:after="0"/>
        <w:ind w:hanging="709" w:left="709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14:ligatures w14:val="none"/>
        </w:rPr>
        <w:t xml:space="preserve">W wyniku przeprowadzonego postępowania w formie zapytania ofertowego (znak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14:ligatures w14:val="none"/>
        </w:rPr>
        <w:t xml:space="preserve">sprawy: .................................................), </w:t>
      </w:r>
      <w:r>
        <w:rPr>
          <w:rFonts w:eastAsia="Times New Roman" w:cs="Times New Roman" w:ascii="Times New Roman" w:hAnsi="Times New Roman"/>
          <w:kern w:val="0"/>
          <w:sz w:val="24"/>
          <w:szCs w:val="24"/>
          <w14:ligatures w14:val="none"/>
        </w:rPr>
        <w:t>Strony zawierają umowę o następującej treści:</w:t>
      </w:r>
    </w:p>
    <w:p>
      <w:pPr>
        <w:pStyle w:val="Normal"/>
        <w:spacing w:lineRule="auto" w:line="276" w:before="0" w:after="0"/>
        <w:jc w:val="both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0" w:after="0"/>
        <w:ind w:hanging="709" w:left="709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1</w:t>
      </w:r>
    </w:p>
    <w:p>
      <w:pPr>
        <w:pStyle w:val="Normal"/>
        <w:spacing w:lineRule="auto" w:line="276" w:before="0" w:after="120"/>
        <w:ind w:hanging="709" w:left="709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Przedmiot umowy</w:t>
      </w:r>
    </w:p>
    <w:p>
      <w:pPr>
        <w:pStyle w:val="Normal"/>
        <w:numPr>
          <w:ilvl w:val="0"/>
          <w:numId w:val="24"/>
        </w:numPr>
        <w:spacing w:lineRule="auto" w:line="276" w:before="0" w:after="12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Zamawiający powierza, a Wykonawca zobowiązuje się sporządzić dokumentację projektową dotyczącą remontu pomieszczeń w budynku Inspektoratu Weterynarii przy ul. Al. Niepodległości 11B w Mońkach, który będzie pełnił funkcję budynku użyteczności publicznej.</w:t>
      </w:r>
    </w:p>
    <w:p>
      <w:pPr>
        <w:pStyle w:val="Normal"/>
        <w:numPr>
          <w:ilvl w:val="0"/>
          <w:numId w:val="24"/>
        </w:numPr>
        <w:spacing w:lineRule="auto" w:line="276" w:before="0" w:after="120"/>
        <w:ind w:hanging="425" w:left="425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W ramach realizacji przedmiotu umowy Wykonawca zobowiązany jest do: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sporządzenia wielobranżowej inwentaryzacji,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przygotowania koncepcji funkcjonalnej aranżacji pomieszczeń biurowych i towarzyszących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przygotowanie projektów wykonawczych wszystkich niezbędnych branż i oraz wystroju wnętrz (z uwzględnieniem stanu istniejącego wszystkich istniejących instalacji),</w:t>
      </w:r>
    </w:p>
    <w:p>
      <w:pPr>
        <w:pStyle w:val="Normal"/>
        <w:numPr>
          <w:ilvl w:val="0"/>
          <w:numId w:val="14"/>
        </w:numPr>
        <w:spacing w:lineRule="auto" w:line="240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sporządzenia projektu sieci informatycznej,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uzyskania w niezbędnym zakresie i na swój koszt decyzji, opinii i uzgodnień (np. środowiskowych, sanitarno-higienicznych, bhp i ergonomii, przeciwpożarowych),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przygotowania specyfikacji technicznych wykonania i odbioru robót, 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przygotowania przedmiarów robót, 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przygotowania kosztorysów inwestorskich,</w:t>
      </w:r>
    </w:p>
    <w:p>
      <w:pPr>
        <w:pStyle w:val="Normal"/>
        <w:numPr>
          <w:ilvl w:val="0"/>
          <w:numId w:val="14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uzyskania w imieniu Zamawiającego decyzji administracyjnych wymaganych do skutecznego zrealizowania prac budowlanych przez wykonawcę robót budowlanych prowadzonych w oparciu o dokumentację projektową, o której mowa w ust. 1, w tym pozwolenia na budowę (o ile jest wymagane). Pełnomocnictwo do występowania             w imieniu Zamawiającego przekazane zostanie na wniosek Wykonawcy.</w:t>
      </w:r>
    </w:p>
    <w:p>
      <w:pPr>
        <w:pStyle w:val="Normal"/>
        <w:numPr>
          <w:ilvl w:val="0"/>
          <w:numId w:val="24"/>
        </w:numPr>
        <w:spacing w:lineRule="auto" w:line="276" w:before="120" w:after="120"/>
        <w:ind w:hanging="425" w:left="425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opracuje i przekaże Zamawiającemu dokumentację projektową, o której mowa w ust. 1, w następującej ilości egzemplarzy:</w:t>
      </w:r>
    </w:p>
    <w:p>
      <w:pPr>
        <w:pStyle w:val="Normal"/>
        <w:numPr>
          <w:ilvl w:val="1"/>
          <w:numId w:val="15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projekty wykonawcze – po 4 egzemplarze;</w:t>
      </w:r>
    </w:p>
    <w:p>
      <w:pPr>
        <w:pStyle w:val="Normal"/>
        <w:numPr>
          <w:ilvl w:val="1"/>
          <w:numId w:val="15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przedmiary robót – po 2 egzemplarze;</w:t>
      </w:r>
    </w:p>
    <w:p>
      <w:pPr>
        <w:pStyle w:val="Normal"/>
        <w:numPr>
          <w:ilvl w:val="1"/>
          <w:numId w:val="15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kosztorysy inwestorskie – po 2 egzemplarze;</w:t>
      </w:r>
    </w:p>
    <w:p>
      <w:pPr>
        <w:pStyle w:val="Normal"/>
        <w:numPr>
          <w:ilvl w:val="1"/>
          <w:numId w:val="15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specyfikacje techniczne wykonania i odbioru robót – po 3 egzemplarze;</w:t>
      </w:r>
    </w:p>
    <w:p>
      <w:pPr>
        <w:pStyle w:val="Normal"/>
        <w:numPr>
          <w:ilvl w:val="1"/>
          <w:numId w:val="15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wszelkie uzgodnienia formalno - prawne związane z wykonaniem zamówienia (jeżeli zajdzie potrzeba).</w:t>
      </w:r>
    </w:p>
    <w:p>
      <w:pPr>
        <w:pStyle w:val="Normal"/>
        <w:numPr>
          <w:ilvl w:val="0"/>
          <w:numId w:val="2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Dokumenty, o których mowa w ust. 3, Wykonawca dostarczy Zamawiającemu dodatkowo na nośniku elektronicznym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, przy czym ich przygotowanie nastąpi w oparciu o oprogramowanie: MS Word, MS Excel, Norma(ath), Acrobat Reader lub inne zaakceptowane przez Zamawiającego.</w:t>
      </w:r>
    </w:p>
    <w:p>
      <w:pPr>
        <w:pStyle w:val="Normal"/>
        <w:spacing w:lineRule="auto" w:line="276" w:before="120" w:after="0"/>
        <w:ind w:hanging="708" w:left="708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2</w:t>
      </w:r>
    </w:p>
    <w:p>
      <w:pPr>
        <w:pStyle w:val="Normal"/>
        <w:spacing w:lineRule="auto" w:line="276" w:before="0" w:after="0"/>
        <w:ind w:hanging="709" w:left="709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Obowiązki Wykonawcy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Wykonawca zobowiązany jest do udokumentowania, że dokumentacja projektowa została sporządzona przez osobę posiadającą / osoby posiadające 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odpowiednie kwalifikacje i  uprawnienia budowlane oraz wpisane na listę członków właściwej izby samorządu zawodowego.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Przedmiot umowy zostanie wykonany zgodnie z obowiązującymi przepisami prawa, w szczególności:</w:t>
      </w:r>
    </w:p>
    <w:p>
      <w:pPr>
        <w:pStyle w:val="Normal"/>
        <w:numPr>
          <w:ilvl w:val="0"/>
          <w:numId w:val="20"/>
        </w:numPr>
        <w:spacing w:lineRule="auto" w:line="276" w:before="120" w:after="0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ustawą z dnia 7 lipca 1994 roku Prawo budowlane (t. jedn. Dz. U. 2025 poz. 418 ze zm.);</w:t>
      </w:r>
    </w:p>
    <w:p>
      <w:pPr>
        <w:pStyle w:val="Normal"/>
        <w:numPr>
          <w:ilvl w:val="0"/>
          <w:numId w:val="20"/>
        </w:numPr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rozporządzeniem Ministra Infrastruktury z dnia 20 grudnia 2021 r. w sprawie szczegółowego zakresu i formy dokumentacji projektowej, specyfikacji technicznych wykonania i odbioru robót budowlanych oraz programu funkcjonalno-użytkowego </w:t>
        <w:br/>
        <w:t>(Dz. U. 2021 poz. 2454)</w:t>
      </w:r>
    </w:p>
    <w:p>
      <w:pPr>
        <w:pStyle w:val="Normal"/>
        <w:numPr>
          <w:ilvl w:val="0"/>
          <w:numId w:val="20"/>
        </w:numPr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rozporządzeniem Ministra Rozwoju z dnia 11 września 2020 r. w sprawie szczegółowego zakresu i formy projektu budowlanego (t. jedn. Dz. U. 2022 poz. 1679 ze zm.);</w:t>
      </w:r>
    </w:p>
    <w:p>
      <w:pPr>
        <w:pStyle w:val="Normal"/>
        <w:numPr>
          <w:ilvl w:val="0"/>
          <w:numId w:val="20"/>
        </w:numPr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rozporządzeniem Ministra Infrastruktury z dnia 20 grudnia 2021 r. w sprawie określenia metod i podstaw sporządzania kosztorysu inwestorskiego, obliczania planowanych kosztów prac projektowych oraz planowanych kosztów robót budowlanych określonych w programie funkcjonalno-użytkowym (Dz. U. 2021 poz. 2458);</w:t>
      </w:r>
    </w:p>
    <w:p>
      <w:pPr>
        <w:pStyle w:val="Normal"/>
        <w:numPr>
          <w:ilvl w:val="0"/>
          <w:numId w:val="20"/>
        </w:numPr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ustawą z dnia 19 lipca 2019 r. o zapewnianiu dostępności osobom ze szczególnymi potrzebami (t. jedn. Dz. U. 2024 poz. 1411 ze zm.).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Wykonawca na etapie projektowania zobowiązuje się przeprowadzić konsultacje z Zamawiającym dotyczące omówienia szczegółowych rozwiązań technicznych, materiałowych i kosztowych dla zakresu prac budowlanych będących do wykonania na podstawie dokumentacji projektowej stanowiącej przedmiot umowy, każdorazowo, gdy w jego opinii lub opinii Zamawiającego zajdzie taka potrzeba. Konsultacje odbywać się będą w siedzibie Zamawiającego bądź innymi miejscu uzgodnionym przez Strony, w terminie uprzednio uzgodnionym przez Strony. Na okoliczność odbytych konsultacji Strony spiszą protokół uzgodnień.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Wykonawca zobowiązuje się do wykonania przedmiotu umowy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 należytą starannością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 zgodnie z treścią umowy, obowiązującymi przepisami techniczno-budowlanymi, obowiązującymi Polskimi Normami oraz zasadami wiedzy technicznej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odpowiada za poprawność i prawidłowość przyjętych rozwiązań, a także za ewentualne błędy i rozwiązania niezgodne z Prawem budowlanym, obowiązującymi normami oraz przepisami techniczno-budowlanymi.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oświadcza, że zapoznał się z miejscem objętym realizacją przedmiotu umowy, posiadaną przez Zamawiającego dokumentacją, otrzymał od Zamawiającego wszelkie informacje, o które się zwracał i nie zgłasza żadnych uwag oraz potrzeby uzupełnienia materiałów, a także informacji przekazanych mu przez Zamawiającego, a niezbędnych do wykonania przedmiotu umowy.</w:t>
      </w:r>
    </w:p>
    <w:p>
      <w:pPr>
        <w:pStyle w:val="Normal"/>
        <w:numPr>
          <w:ilvl w:val="0"/>
          <w:numId w:val="4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Wykonawca deklaruje gotowość przyjęcia do wykonania prac dodatkowych związanych z przedmiotem zamówienia, których wykonanie Zamawiający zleci w trakcie realizacji zamówienia. Zakres i zasady wykonania prac dodatkowych określone zostaną odrębną umową.</w:t>
      </w:r>
    </w:p>
    <w:p>
      <w:pPr>
        <w:pStyle w:val="Normal"/>
        <w:spacing w:lineRule="auto" w:line="276" w:before="120" w:after="0"/>
        <w:ind w:hanging="426" w:left="426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3</w:t>
      </w:r>
    </w:p>
    <w:p>
      <w:pPr>
        <w:pStyle w:val="Normal"/>
        <w:spacing w:lineRule="auto" w:line="276" w:before="0" w:after="0"/>
        <w:ind w:hanging="425" w:left="425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Obowiązki Zamawiającego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Zamawiający zobowiązany jest do przekazywania Wykonawcy wszelkich informacji niezbędnych do realizacji niniejszej umowy.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426" w:leader="none"/>
        </w:tabs>
        <w:spacing w:lineRule="auto" w:line="276" w:before="120" w:after="12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Zamawiający zobowiązany jest do przekazania Wykonawcy następujących danych i dokumentów:</w:t>
      </w:r>
    </w:p>
    <w:p>
      <w:pPr>
        <w:pStyle w:val="Normal"/>
        <w:numPr>
          <w:ilvl w:val="1"/>
          <w:numId w:val="11"/>
        </w:numPr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upoważnienia do występowania w imieniu Zamawiającego do innych instytucji w zakresie niezbędnym do realizacji przedmiotu niniejszej umowy,</w:t>
      </w:r>
    </w:p>
    <w:p>
      <w:pPr>
        <w:pStyle w:val="Normal"/>
        <w:numPr>
          <w:ilvl w:val="1"/>
          <w:numId w:val="11"/>
        </w:numPr>
        <w:spacing w:lineRule="auto" w:line="276" w:before="0" w:after="0"/>
        <w:ind w:hanging="360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oświadczenia o prawie do dysponowania nieruchomością na cele budowlane.</w:t>
      </w:r>
    </w:p>
    <w:p>
      <w:pPr>
        <w:pStyle w:val="Normal"/>
        <w:spacing w:lineRule="auto" w:line="276" w:before="120" w:after="0"/>
        <w:ind w:hanging="708" w:left="708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4</w:t>
      </w:r>
    </w:p>
    <w:p>
      <w:pPr>
        <w:pStyle w:val="Normal"/>
        <w:tabs>
          <w:tab w:val="clear" w:pos="708"/>
          <w:tab w:val="left" w:pos="284" w:leader="none"/>
        </w:tabs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Termin realizacji i odbiór dokumentacji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Ustala się następujący termin przekazania wykonanej dokumentacji projektowej określonej w § 1 umowy: 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2 miesiące od dnia zawarcia umowy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. Do przedmiotowego terminu nie wlicza się czasu trwania ewentualnego postępowania administracyjnego.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Przekazanie do odbioru dokumentacji projektowej nastąpi w siedzibie Zamawiającego i zostanie potwierdzone przez przedstawicieli Zamawiającego i Wykonawcy na podstawie Protokołu przekazania.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Wykonawca jest zobowiązany do przekazania Zamawiającemu dokumentacji projektowej stanowiącej przedmiot odbioru Protokołem przekazania wraz z wykazem opracowań oraz pisemnym zapewnieniem Wykonawcy, iż jest ona wykonana zgodnie z umową, obowiązującymi przepisami techniczno – budowlanymi i normami oraz kompletna z punktu widzenia celu, któremu ma służyć.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Podpisany przez Zamawiającego Protokół przekazania wraz z wykazem opracowań jest dla Wykonawcy potwierdzeniem przekazania dokumentacji. Protokół przekazania nie jest dla Wykonawcy potwierdzeniem zaakceptowania jej kompletności i jakości.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Zamawiający ma obowiązek dokonania odbioru przekazanej dokumentacji projektowej      w ciągu 30 dni od daty otrzymania kompletnej dokumentacji. Brak uwag ze strony Zamawiającego we wskazanym terminie traktowany jest jako akceptacja przekazanych opracowań projektowych.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Odbiór przez Zamawiającego wykonanej i przekazanej dokumentacji projektowej nastąpi w jego siedzibie.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Przekazana przez Wykonawcę dokumentacja projektowa, stanowiąca przedmiot umowy, podlega weryfikacji przez Zamawiającego, który może:</w:t>
      </w:r>
    </w:p>
    <w:p>
      <w:pPr>
        <w:pStyle w:val="Normal"/>
        <w:numPr>
          <w:ilvl w:val="0"/>
          <w:numId w:val="23"/>
        </w:numPr>
        <w:spacing w:lineRule="exact" w:line="320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zaakceptować przekazane opracowania projektowe bez uwag i podpisać Protokół Odbioru;</w:t>
      </w:r>
    </w:p>
    <w:p>
      <w:pPr>
        <w:pStyle w:val="Normal"/>
        <w:numPr>
          <w:ilvl w:val="0"/>
          <w:numId w:val="23"/>
        </w:numPr>
        <w:spacing w:lineRule="exact" w:line="320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warunkowo zaakceptować przekazane opracowania projektowe z uwagami, wskazać nieprawidłowości oraz termin i formę ich usunięcia, a po wprowadzeniu wszystkich uwag – ostatecznie zaakceptować i podpisać Protokół Odbioru;</w:t>
      </w:r>
    </w:p>
    <w:p>
      <w:pPr>
        <w:pStyle w:val="Normal"/>
        <w:numPr>
          <w:ilvl w:val="0"/>
          <w:numId w:val="23"/>
        </w:numPr>
        <w:spacing w:lineRule="exact" w:line="320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nie zaakceptować przekazanego opracowania projektowego, wskazać nieprawidłowości i termin ich usunięcia. Wykonawca zobowiązany jest po usunięciu nieprawidłowości do ponownego przekazania opracowania projektowego Protokołem przekazania.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 sytuacji określonej w ust. 7 lit. b) odbiór opracowania projektowego uważa się za dokonany z chwilą terminowego usunięcia wad, zgodnie z terminem określonym                  w protokole odbioru warunkowego. W takiej sytuacji za datę zakończenia realizacji opracowania projektowego lub jego części uznana będzie data przekazania opracowania projektowego.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 sytuacji określonej w ust. 7 lit. c) odbiór opracowania projektowego uważa się za dokonany z chwilą ostatecznego odbioru opracowania projektowego. W takiej sytuacji za datę zakończenia realizacji opracowania projektowego lub jego części uznana będzie data ostatecznego przekazania opracowania projektowego.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 przypadku wad opracowania projektowego lub jego części stwierdzonych przez właściwy organ w czasie wydawania decyzji, opinii lub postanowień, Wykonawca zobowiązany jest poprawić opracowanie projektowe lub jego część w terminie wskazanym przez ten organ.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Podpisany przez obie Strony Protokół Odbioru Końcowego wszystkich opracowań wchodzących w zakres umowy stanowi podstawę do wystawienia faktury. </w:t>
      </w:r>
    </w:p>
    <w:p>
      <w:pPr>
        <w:pStyle w:val="Normal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Jeżeli po dokonaniu odbioru końcowego zostaną stwierdzone wady, to Zamawiającemu przysługują  następujące uprawnienia:</w:t>
      </w:r>
    </w:p>
    <w:p>
      <w:pPr>
        <w:pStyle w:val="Normal"/>
        <w:numPr>
          <w:ilvl w:val="1"/>
          <w:numId w:val="16"/>
        </w:numPr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jeżeli wady nadają się do usunięcia, Zamawiający może zażądać usunięcia wad lub zlecić wykonanie zastępcze osobie trzeciej;</w:t>
      </w:r>
    </w:p>
    <w:p>
      <w:pPr>
        <w:pStyle w:val="Normal"/>
        <w:numPr>
          <w:ilvl w:val="1"/>
          <w:numId w:val="16"/>
        </w:numPr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jeżeli wady nie nadają się do usunięcia, Zamawiający może:</w:t>
      </w:r>
    </w:p>
    <w:p>
      <w:pPr>
        <w:pStyle w:val="Normal"/>
        <w:widowControl w:val="false"/>
        <w:numPr>
          <w:ilvl w:val="0"/>
          <w:numId w:val="17"/>
        </w:numPr>
        <w:spacing w:lineRule="auto" w:line="276" w:before="0" w:after="0"/>
        <w:ind w:hanging="357" w:left="992"/>
        <w:contextualSpacing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zażądać ponownego wykonania prac,</w:t>
      </w:r>
    </w:p>
    <w:p>
      <w:pPr>
        <w:pStyle w:val="Normal"/>
        <w:widowControl w:val="false"/>
        <w:numPr>
          <w:ilvl w:val="0"/>
          <w:numId w:val="17"/>
        </w:numPr>
        <w:spacing w:lineRule="auto" w:line="276" w:before="0" w:after="0"/>
        <w:ind w:hanging="357" w:left="992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odstąpić od umowy i naliczyć karę w podwójnej wysokości określonej w § 8 ust. 1 lit. a).</w:t>
      </w:r>
    </w:p>
    <w:p>
      <w:pPr>
        <w:pStyle w:val="Normal"/>
        <w:widowControl w:val="false"/>
        <w:numPr>
          <w:ilvl w:val="0"/>
          <w:numId w:val="10"/>
        </w:numPr>
        <w:spacing w:lineRule="auto" w:line="276" w:before="120" w:after="0"/>
        <w:ind w:hanging="425" w:left="425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Zamawiający na każdym etapie realizacji prac stanowiących przedmiot dokumentacji projektowej, ma prawo wnieść zastrzeżenia do przedmiotu umowy, żądać od Wykonawcy wyjaśnień, uzupełnień i poprawy przekazanych opracowań. Swoje zastrzeżenia, uwagi i zapytania do przekazanego przedmiotu umowy, Zamawiający będzie wnosił do Wykonawcy, przesyłając je na adres e-mail wskazany w § 11 ust. 2 lub listownie na adres siedziby Wykonawcy.</w:t>
      </w:r>
    </w:p>
    <w:p>
      <w:pPr>
        <w:pStyle w:val="Normal"/>
        <w:widowControl w:val="false"/>
        <w:numPr>
          <w:ilvl w:val="0"/>
          <w:numId w:val="10"/>
        </w:numPr>
        <w:spacing w:lineRule="auto" w:line="276" w:before="120" w:after="0"/>
        <w:ind w:hanging="425" w:left="425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Wykonawca, w przypadku zwrócenia się przez Zamawiającego o udzielenie wyjaśnień bądź uzupełnienie przekazanej dokumentacji projektowej, zobowiązany jest nie później niż z terminie 2 dni roboczych od dnia doręczenia wezwania udzielić wyjaśnień we wskazywanym zakresie.</w:t>
      </w:r>
    </w:p>
    <w:p>
      <w:pPr>
        <w:pStyle w:val="Normal"/>
        <w:widowControl w:val="false"/>
        <w:numPr>
          <w:ilvl w:val="0"/>
          <w:numId w:val="10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W przypadku stwierdzenia wad w przedmiocie umowy, Wykonawca zobowiązany jest do ich usunięcia w terminie 7 dni od dnia doręczenia wezwania.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5</w:t>
      </w:r>
    </w:p>
    <w:p>
      <w:pPr>
        <w:pStyle w:val="Normal"/>
        <w:tabs>
          <w:tab w:val="clear" w:pos="708"/>
          <w:tab w:val="left" w:pos="284" w:leader="none"/>
        </w:tabs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Wartość i rozliczenie umowy</w:t>
      </w:r>
    </w:p>
    <w:p>
      <w:pPr>
        <w:pStyle w:val="Normal"/>
        <w:widowControl w:val="false"/>
        <w:numPr>
          <w:ilvl w:val="3"/>
          <w:numId w:val="21"/>
        </w:numPr>
        <w:tabs>
          <w:tab w:val="clear" w:pos="708"/>
          <w:tab w:val="left" w:pos="8789" w:leader="dot"/>
        </w:tabs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Za wykonanie przedmiotu umowy określonego w § 1 umowy oraz sprawowanie nadzoru autorskiego określonego w § 6 umowy Wykonawcy przysługuje całkowite wynagrodzenie w kwocie </w:t>
      </w: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  <w:t>…………………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 xml:space="preserve"> zł netto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 + podatek VAT ….%, co daje </w:t>
      </w: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………………………. zł brutto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 (słownie: ……………………………………… złotych).</w:t>
      </w:r>
    </w:p>
    <w:p>
      <w:pPr>
        <w:pStyle w:val="Normal"/>
        <w:widowControl w:val="false"/>
        <w:numPr>
          <w:ilvl w:val="0"/>
          <w:numId w:val="21"/>
        </w:numPr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Wynagrodzenie określone w ust. 1 ma charakter ryczałtowy i zawiera wszystkie koszty niezbędne do wykonania całego zakresu umowy, w tym również koszty nieujęte bezpośrednio w umowie a związane z realizacją zadania i niezbędne dla prawidłowego wykonania przedmiotu umowy.</w:t>
      </w:r>
    </w:p>
    <w:p>
      <w:pPr>
        <w:pStyle w:val="Normal"/>
        <w:widowControl w:val="false"/>
        <w:numPr>
          <w:ilvl w:val="0"/>
          <w:numId w:val="21"/>
        </w:numPr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Zapłata wynagrodzenia określonego w ust. 1 nastąpi w dwóch ratach przy zastosowaniu następującego schematu:</w:t>
      </w:r>
    </w:p>
    <w:p>
      <w:pPr>
        <w:pStyle w:val="Normal"/>
        <w:widowControl w:val="false"/>
        <w:numPr>
          <w:ilvl w:val="0"/>
          <w:numId w:val="22"/>
        </w:numPr>
        <w:spacing w:lineRule="exact" w:line="320" w:before="120" w:after="0"/>
        <w:ind w:hanging="357" w:left="714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pierwsza rata w wysokości 70% wynagrodzenia określonego w ust. 1 po dokonaniu odbioru końcowego wszystkich opracowań projektowych określonych w § 1 umowy i podpisaniu przez Strony Protokołu 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Odbioru Końcowego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, o którym mowa w § 4 ust. 11 umowy, w oparciu o prawidłowo wystawioną przez Wykonawcę fakturę VAT. Wraz z fakturą VAT Wykonawca ma obowiązek przedstawienia oświadczeń wszystkich podwykonawców (dalszych podwykonawców) uczestniczących w realizacji zamówienia o zaspokojeniu przez Wykonawcę w stosunku do nich wszystkich wymagalnych zobowiązań z tytułu wykonywania prac w ramach realizacji przedmiotowego zamówienia lub dowodów zapłaty wynagrodzenia wszystkim podwykonawcom i ewentualnym dalszym podwykonawcom biorącym udział                    w realizacji zamówienia;</w:t>
      </w:r>
    </w:p>
    <w:p>
      <w:pPr>
        <w:pStyle w:val="Normal"/>
        <w:widowControl w:val="false"/>
        <w:numPr>
          <w:ilvl w:val="0"/>
          <w:numId w:val="22"/>
        </w:numPr>
        <w:spacing w:lineRule="auto" w:line="276" w:before="120" w:after="120"/>
        <w:ind w:hanging="357" w:left="72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druga rata w wysokości 30% wynagrodzenia określonego w ust. 1 po uzyskaniu przez Wykonawcę na rzecz Zamawiającego pozwolenia na budowę / dokonaniu zgłoszenia robót budowlanych w oparciu o sporządzoną przez Wykonawcę dokumentację projektową stanowiącą przedmiot niniejszej umowy.</w:t>
      </w:r>
    </w:p>
    <w:p>
      <w:pPr>
        <w:pStyle w:val="Normal"/>
        <w:numPr>
          <w:ilvl w:val="0"/>
          <w:numId w:val="21"/>
        </w:numPr>
        <w:shd w:val="clear" w:color="auto" w:fill="FFFFFF"/>
        <w:spacing w:lineRule="auto" w:line="276" w:before="0" w:after="120"/>
        <w:ind w:hanging="357" w:left="36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cs="Times New Roman" w:ascii="Times New Roman" w:hAnsi="Times New Roman"/>
          <w:spacing w:val="-1"/>
          <w:sz w:val="24"/>
          <w:szCs w:val="24"/>
        </w:rPr>
        <w:t xml:space="preserve">Wykonawca będzie wystawiać faktury w formie faktur ustrukturyzowanych za pośrednictwem Krajowego Systemu e-Faktur (KSeF), zgodnie z obowiązującymi przepisami prawa. Za dzień doręczenia faktury Zamawiającemu uznaje się dzień otrzymania faktury przez Zamawiającego w KSeF. Termin płatności faktury ustala się na 30 dni od daty otrzymania przez Zamawiającego prawidłowo wystawionej faktury VAT w KSeF, posiadającej numer referencyjny KSeF ID. </w:t>
      </w:r>
    </w:p>
    <w:p>
      <w:pPr>
        <w:pStyle w:val="Normal"/>
        <w:numPr>
          <w:ilvl w:val="0"/>
          <w:numId w:val="21"/>
        </w:numPr>
        <w:shd w:val="clear" w:color="auto" w:fill="FFFFFF"/>
        <w:spacing w:lineRule="auto" w:line="276" w:before="0" w:after="120"/>
        <w:ind w:hanging="357" w:left="36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cs="Times New Roman" w:ascii="Times New Roman" w:hAnsi="Times New Roman"/>
          <w:spacing w:val="-1"/>
          <w:sz w:val="24"/>
          <w:szCs w:val="24"/>
        </w:rPr>
        <w:t>Zamawiający zastrzega sobie prawo do żądania potwierdzenia wysłania faktury do KSeF oraz numeru referencyjnego faktury nadanego przez system.</w:t>
      </w:r>
    </w:p>
    <w:p>
      <w:pPr>
        <w:pStyle w:val="Normal"/>
        <w:numPr>
          <w:ilvl w:val="0"/>
          <w:numId w:val="21"/>
        </w:numPr>
        <w:shd w:val="clear" w:color="auto" w:fill="FFFFFF"/>
        <w:spacing w:lineRule="auto" w:line="276" w:before="0"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cs="Times New Roman" w:ascii="Times New Roman" w:hAnsi="Times New Roman"/>
          <w:spacing w:val="-1"/>
          <w:sz w:val="24"/>
          <w:szCs w:val="24"/>
        </w:rPr>
        <w:t>W przypadku wystąpienia awarii systemu KSeF lub innych przesłanek uniemożliwiających wystawienie faktury za pośrednictwem KSeF, Wykonawca zobowiązany jest do niezwłocznego poinformowania Zamawiającego oraz postępowania zgodnie z przepisami wynikającymi z obowiązujących aktów prawnych.</w:t>
      </w:r>
      <w:r>
        <w:rPr>
          <w:rFonts w:cs="Times New Roman" w:ascii="Times New Roman" w:hAnsi="Times New Roman"/>
          <w:sz w:val="24"/>
          <w:szCs w:val="24"/>
          <w:lang w:eastAsia="ar-SA"/>
        </w:rPr>
        <w:t xml:space="preserve"> </w:t>
      </w:r>
    </w:p>
    <w:p>
      <w:pPr>
        <w:pStyle w:val="Normal"/>
        <w:widowControl w:val="false"/>
        <w:numPr>
          <w:ilvl w:val="0"/>
          <w:numId w:val="21"/>
        </w:numPr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 dzień zapłaty uważa się dzień obciążenia rachunku bankowego Zamawiającego.</w:t>
      </w:r>
    </w:p>
    <w:p>
      <w:pPr>
        <w:pStyle w:val="Normal"/>
        <w:widowControl w:val="false"/>
        <w:spacing w:lineRule="auto" w:line="276" w:before="120" w:after="0"/>
        <w:ind w:left="4454" w:right="1"/>
        <w:jc w:val="both"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  <w:t xml:space="preserve">§ 6 </w:t>
      </w:r>
    </w:p>
    <w:p>
      <w:pPr>
        <w:pStyle w:val="Normal"/>
        <w:widowControl w:val="false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  <w:t>Nadzór autorski</w:t>
      </w:r>
    </w:p>
    <w:p>
      <w:pPr>
        <w:pStyle w:val="Normal"/>
        <w:numPr>
          <w:ilvl w:val="0"/>
          <w:numId w:val="7"/>
        </w:numPr>
        <w:spacing w:lineRule="auto" w:line="276" w:before="120" w:after="0"/>
        <w:ind w:hanging="360" w:left="36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Wykonawca w ramach wynagrodzenia określonego w § 5 ust. 1 umowy sprawować będzie nadzór autorski zgodnie z warunkami niniejszej umowy, stosownie do art. 20 ust. l pkt 4 ustawy 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z dnia 7 lipca 1994 roku Prawo budowlane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(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t. jedn. Dz. U. 2025 poz. 418 ze zm.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) w sposób zgodny z umową zawartą przez Zamawiającego z wykonawcą robót budowlanych oraz wynikający z zaistniałych potrzeb rozwiązywania problemów wynikłych w związku z realizacją zadania.</w:t>
      </w:r>
    </w:p>
    <w:p>
      <w:pPr>
        <w:pStyle w:val="Normal"/>
        <w:numPr>
          <w:ilvl w:val="0"/>
          <w:numId w:val="7"/>
        </w:numPr>
        <w:spacing w:lineRule="auto" w:line="276" w:before="120" w:after="0"/>
        <w:ind w:hanging="360" w:left="36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zobowiązuje się do pełnienia nadzoru autorskiego nad wykonaniem robót na podstawie sporządzonej dokumentacji projektowej. Nadzór autorski sprawowany będzie począwszy od dnia rozpoczęcia robót budowlanych i trwał będzie nieprzerwanie do czynności odbioru końcowego.</w:t>
      </w:r>
    </w:p>
    <w:p>
      <w:pPr>
        <w:pStyle w:val="Normal"/>
        <w:numPr>
          <w:ilvl w:val="0"/>
          <w:numId w:val="7"/>
        </w:numPr>
        <w:spacing w:lineRule="auto" w:line="276" w:before="120" w:after="0"/>
        <w:ind w:hanging="360" w:left="36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Nadzór autorski obejmuje w szczególności: </w:t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709" w:leader="none"/>
        </w:tabs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kontrolowanie zgodności prowadzonych prac z dokumentacją projektową, obowiązującymi przepisami prawa i normami,</w:t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709" w:leader="none"/>
        </w:tabs>
        <w:spacing w:lineRule="auto" w:line="276" w:before="0" w:after="0"/>
        <w:ind w:hanging="357" w:left="641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wyjaśnienie wątpliwości dotyczących projektu budowlano-wykonawczego i zawartych w nim rozwiązań oraz ewentualne uzupełnienie szczegółów dokumentacji projektowej, </w:t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709" w:leader="none"/>
        </w:tabs>
        <w:spacing w:lineRule="auto" w:line="276" w:before="0" w:after="0"/>
        <w:ind w:hanging="357" w:left="641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uzgadnianie z Zamawiającym i wykonawcą robót możliwości wprowadzenia rozwiązań zamiennych w stosunku do przewidzianych w dokumentacji projektowej                                w odniesieniu do materiałów i konstrukcji oaz rozwiązań technicznych                                        i technologicznych,</w:t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709" w:leader="none"/>
        </w:tabs>
        <w:spacing w:lineRule="auto" w:line="276" w:before="0" w:after="0"/>
        <w:ind w:hanging="357" w:left="641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nadzorowanie, aby zakres wprowadzonych zmian nie spowodował istotnej zmiany zatwierdzonego projektu budowlanego,</w:t>
      </w:r>
    </w:p>
    <w:p>
      <w:pPr>
        <w:pStyle w:val="Normal"/>
        <w:numPr>
          <w:ilvl w:val="1"/>
          <w:numId w:val="12"/>
        </w:numPr>
        <w:tabs>
          <w:tab w:val="clear" w:pos="708"/>
          <w:tab w:val="left" w:pos="709" w:leader="none"/>
        </w:tabs>
        <w:spacing w:lineRule="auto" w:line="276" w:before="0" w:after="0"/>
        <w:ind w:hanging="357" w:left="641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udział w posiedzeniach komisji i naradach technicznych organizowanych przez Zamawiającego, uczestnictwo w odbiorach robót zanikających oraz odbiorze końcowym robót.</w:t>
      </w:r>
    </w:p>
    <w:p>
      <w:pPr>
        <w:pStyle w:val="Normal"/>
        <w:numPr>
          <w:ilvl w:val="0"/>
          <w:numId w:val="7"/>
        </w:numPr>
        <w:spacing w:lineRule="auto" w:line="276" w:before="120" w:after="0"/>
        <w:ind w:hanging="360" w:left="36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zostanie wezwany do wykonania czynności określonych w ust. 3 telefonicznie lub drogą elektroniczną, co zostanie potwierdzone w dzienniku budowy.</w:t>
      </w:r>
    </w:p>
    <w:p>
      <w:pPr>
        <w:pStyle w:val="Normal"/>
        <w:numPr>
          <w:ilvl w:val="0"/>
          <w:numId w:val="7"/>
        </w:numPr>
        <w:spacing w:lineRule="auto" w:line="276" w:before="120" w:after="0"/>
        <w:ind w:hanging="360" w:left="36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Niestawienie się Wykonawcy w celu wykonania obowiązków, o których mowa w ust. 3, spowoduje naliczenie przez Zamawiającego kary umownej zgodnie z § 8 ust. 1 lit. e).</w:t>
      </w:r>
    </w:p>
    <w:p>
      <w:pPr>
        <w:pStyle w:val="Normal"/>
        <w:spacing w:lineRule="auto" w:line="276" w:before="120" w:after="0"/>
        <w:ind w:hanging="708" w:left="708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7</w:t>
      </w:r>
    </w:p>
    <w:p>
      <w:pPr>
        <w:pStyle w:val="Normal"/>
        <w:spacing w:lineRule="auto" w:line="276" w:before="0" w:after="0"/>
        <w:ind w:hanging="709" w:left="709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Informacja o podwykonawcach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Strony ustalają, że całkowity zakres prac Wykonawca wykona siłami własnymi.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Na zlecenie podwykonawcom wykonania części prac objętych przedmiotem umowy, Wykonawca jest zobowiązany uzyskać pisemną zgodę Zamawiającego. 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 razie zlecenia przez Wykonawcę wykonania części prac objętych przedmiotem umowy podwykonawcom bez uzyskania zgody, o której mowa w ust. 2, Zamawiający ma prawo rozwiązać umowę z Wykonawcą ze skutkiem natychmiastowym.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Zamawiający ma prawo żądać od podwykonawcy pisemnego potwierdzenia otrzymania od Wykonawcy wynagrodzenia za wykonane prace, w ramach zaakceptowanej przez Zamawiającego umowy. W przypadku niedoręczenia wyżej wymienionego potwierdzenia, Zamawiający ma prawo wstrzymać płatność faktury do wysokości kwoty należnej podwykonawcy.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Realizacja części umowy przez podwykonawcę nie zwalnia Wykonawcy z odpowiedzialności za wykonanie obowiązków wynikających z umowy lub przepisów obowiązującego prawa. Wykonawca odpowiada za działania lub zaniechania podwykonawców jak za działania własne.</w:t>
      </w:r>
    </w:p>
    <w:p>
      <w:pPr>
        <w:pStyle w:val="Normal"/>
        <w:numPr>
          <w:ilvl w:val="0"/>
          <w:numId w:val="3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Zamawiającemu przysługuje prawo żądania od Wykonawcy zmiany podwykonawcy, jeżeli ten realizuje prace w sposób wadliwy, niezgodny z założeniami i przepisami.</w:t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8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Kary umowne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zapłaci Zamawiającemu karę umowną: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426" w:leader="none"/>
        </w:tabs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 odstąpienie od umowy przez Zamawiającego z przyczyn leżących po stronie Wykonawcy, w wysokości 10% wartości wynagrodzenia netto, o którym mowa  w § 5 ust. 1 umowy;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426" w:leader="none"/>
        </w:tabs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 odstąpienie od umowy przez Wykonawcę z przyczyn niezależnych od Zamawiającego, w wysokości 10% wartości wynagrodzenia netto, o którym mowa w § 5 ust. 1 umowy;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426" w:leader="none"/>
        </w:tabs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 zwłokę w usunięciu wad stwierdzonych podczas odbioru lub później, w wysokości 0,5% wartości wynagrodzenia netto, o którym mowa w § 5 ust. 1 umowy, za każdy dzień pozostawania w zwłoce;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426" w:leader="none"/>
        </w:tabs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 zwłokę w wykonaniu przedmiotu umowy, w wysokości 0,5% wartości wynagrodzenia netto, o którym mowa w § 5 ust. 1 umowy, za każdy dzień pozostawania w zwłoce;</w:t>
      </w:r>
    </w:p>
    <w:p>
      <w:pPr>
        <w:pStyle w:val="Normal"/>
        <w:numPr>
          <w:ilvl w:val="0"/>
          <w:numId w:val="18"/>
        </w:numPr>
        <w:tabs>
          <w:tab w:val="clear" w:pos="708"/>
          <w:tab w:val="left" w:pos="426" w:leader="none"/>
        </w:tabs>
        <w:spacing w:lineRule="auto" w:line="276" w:before="0" w:after="0"/>
        <w:ind w:hanging="357" w:left="714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za niestawienie się Wykonawcy na wezwanie Zamawiającego w celu wykonania obowiązków określonych w § 6 ust. 3 umowy, </w:t>
      </w:r>
      <w:r>
        <w:rPr>
          <w:rFonts w:eastAsia="Arial" w:cs="Times New Roman" w:ascii="Times New Roman" w:hAnsi="Times New Roman"/>
          <w:kern w:val="0"/>
          <w:sz w:val="24"/>
          <w:szCs w:val="24"/>
          <w:lang w:eastAsia="zh-CN"/>
          <w14:ligatures w14:val="none"/>
        </w:rPr>
        <w:t>Zamawiającemu przysługuje prawo naliczenia Wykonawcy kary umownej w wysokości 200,00 zł za każdy stwierdzony przypadek.</w:t>
      </w:r>
    </w:p>
    <w:p>
      <w:pPr>
        <w:pStyle w:val="Normal"/>
        <w:numPr>
          <w:ilvl w:val="0"/>
          <w:numId w:val="1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Kary, o których mowa w ust. 1, mogą być kumulowane. Łączna maksymalna wysokość kar umownych naliczonych Wykonawcy przez Zamawiającego nie może przekroczyć 30% wynagrodzenia netto określonego w § 5 ust. 1 umowy.</w:t>
      </w:r>
    </w:p>
    <w:p>
      <w:pPr>
        <w:pStyle w:val="Normal"/>
        <w:numPr>
          <w:ilvl w:val="0"/>
          <w:numId w:val="1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Strony dopuszczają możliwość dochodzenia odszkodowania na zasadach ogólnych do wysokości rzeczywiście poniesionej szkody, w tym odszkodowania uzupełniającego przewyższającego wysokość zapłaconych kar umownych.</w:t>
      </w:r>
    </w:p>
    <w:p>
      <w:pPr>
        <w:pStyle w:val="Normal"/>
        <w:numPr>
          <w:ilvl w:val="0"/>
          <w:numId w:val="1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Zamawiającemu przysługuje prawo potrącenia ewentualnych kar umownych z wynagrodzenia należnego Wykonawcy.</w:t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9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 xml:space="preserve">Nabycie praw autorskich 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</w:tabs>
        <w:suppressAutoHyphens w:val="true"/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Wykonawca oświadcza, że przedmiot umowy, o którym mowa w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eastAsia="pl-PL"/>
          <w14:ligatures w14:val="none"/>
        </w:rPr>
        <w:t>§ 1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, stanowi przedmiot jego wyłącznych praw autorskich, w rozumieniu </w:t>
      </w:r>
      <w:r>
        <w:rPr>
          <w:rFonts w:eastAsia="Times New Roman" w:cs="Times New Roman" w:ascii="Times New Roman" w:hAnsi="Times New Roman"/>
          <w:color w:val="000000"/>
          <w:kern w:val="0"/>
          <w:sz w:val="24"/>
          <w:szCs w:val="24"/>
          <w:lang w:eastAsia="pl-PL"/>
          <w14:ligatures w14:val="none"/>
        </w:rPr>
        <w:t>ustawy z dnia 4 lutego 1994 r. o prawie autorskim i prawach pokrewnych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 (t. jedn. Dz. U. 2025 poz. 24 ze zm.).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</w:tabs>
        <w:suppressAutoHyphens w:val="true"/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oświadcza i gwarantuje, że przedmiot umowy będzie wolny od jakichkolwiek praw osób trzecich, zaś prawo Wykonawcy do rozporządzania przedmiotem umowy nie będzie w jakikolwiek sposób ograniczone. W razie naruszenia powyższego zobowiązania, Wykonawca będzie odpowiedzialny za wszelkie poniesione przez Zamawiającego szkody.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</w:tabs>
        <w:suppressAutoHyphens w:val="true"/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 ramach wynagrodzenia określonego w § 5 ust. 1 umowy, z chwilą wykonania przedmiotu umowy Wykonawca przenosi na Zamawiającego prawo własności do przedmiotu umowy oraz całość autorskich praw majątkowych i praw pokrewnych do przedmiotu umowy wraz z wyłącznym prawem zezwalania na wykonywanie zależnego prawa autorskiego.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360" w:leader="none"/>
        </w:tabs>
        <w:suppressAutoHyphens w:val="true"/>
        <w:spacing w:lineRule="auto" w:line="276" w:before="12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Przeniesienie praw autorskich i praw pokrewnych, o których mowa w ust. 3, nie jest ograniczone czasowo ani terytorialnie i następuje na wszelkich znanych w chwili zawarcia umowy polach eksploatacji, w szczególności: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120" w:after="0"/>
        <w:ind w:hanging="360" w:left="709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używania i wykorzystywania przedmiotu umowy do realizacji robót,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utrwalania i zwielokrotniania jakąkolwiek techniką i na jakimkolwiek nośniku, w tym nośniku elektronicznym, niezależnie od standardu systemu i formatu oraz dowolne korzystanie i rozporządzanie kopiami,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wprowadzania do pamięci komputera oraz do sieci komputerowej i/lub multimedialnej, w tym do Internetu,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rozpowszechniania w formie druku, zapisu cyfrowego, przekazu multimedialnego,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nieodpłatnego lub odpłatnego udostępniania bez zgody Wykonawcy osobom trzecim na wszystkich polach eksploatacji określonych w niniejszej umowie,</w:t>
      </w:r>
    </w:p>
    <w:p>
      <w:pPr>
        <w:pStyle w:val="Normal"/>
        <w:numPr>
          <w:ilvl w:val="2"/>
          <w:numId w:val="13"/>
        </w:numPr>
        <w:suppressAutoHyphens w:val="true"/>
        <w:spacing w:lineRule="auto" w:line="276" w:before="0" w:after="0"/>
        <w:ind w:hanging="357" w:left="709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rozporządzania w jakikolwiek inny sposób odpłatny lub nieodpłatny.</w:t>
      </w:r>
    </w:p>
    <w:p>
      <w:pPr>
        <w:pStyle w:val="Normal"/>
        <w:numPr>
          <w:ilvl w:val="0"/>
          <w:numId w:val="19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ponosi odpowiedzialność za szkody spowodowane jakimikolwiek wadami przedmiotu umowy, uniemożliwiającymi realizację przez Zamawiającego (na podstawie przedmiotu umowy) planowanej inwestycji i/lub powodującymi konieczność wykonania dodatkowych projektów, robót, a także ponoszenia dodatkowych wydatków.</w:t>
      </w:r>
    </w:p>
    <w:p>
      <w:pPr>
        <w:pStyle w:val="Normal"/>
        <w:numPr>
          <w:ilvl w:val="0"/>
          <w:numId w:val="19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Przeniesienie prawa własności i praw autorskich do przedmiotu umowy na Zamawiającego nastąpi w dniu podpisania przez Zamawiającego Protokołu</w:t>
      </w: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 xml:space="preserve"> Odbioru Końcowego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, o którym mowa w § 4 ust. 11 umowy.</w:t>
      </w:r>
    </w:p>
    <w:p>
      <w:pPr>
        <w:pStyle w:val="Normal"/>
        <w:numPr>
          <w:ilvl w:val="0"/>
          <w:numId w:val="19"/>
        </w:numPr>
        <w:suppressAutoHyphens w:val="true"/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 przypadku wystąpienia przeciwko Zamawiającemu przez osobę trzecią z roszczeniami wynikającymi z naruszenia jej praw, Wykonawca zobowiązuje się do ich zaspokojenia i zwolnienia Zamawiającego od obowiązku świadczeń z tego tytułu.</w:t>
      </w:r>
    </w:p>
    <w:p>
      <w:pPr>
        <w:pStyle w:val="Normal"/>
        <w:numPr>
          <w:ilvl w:val="0"/>
          <w:numId w:val="19"/>
        </w:numPr>
        <w:suppressAutoHyphens w:val="true"/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 przypadku dochodzenia na drodze sądowej przez osoby trzecie roszczeń wynikających z powyższych tytułów przeciwko Zamawiającemu, Wykonawca zobowiązuje się do przystąpienia w procesie do Zamawiającego i podjęcia wszelkich czynności w celu jego zwolnienia z udziału w sprawie.</w:t>
      </w:r>
    </w:p>
    <w:p>
      <w:pPr>
        <w:pStyle w:val="Normal"/>
        <w:widowControl w:val="false"/>
        <w:numPr>
          <w:ilvl w:val="0"/>
          <w:numId w:val="19"/>
        </w:numPr>
        <w:spacing w:lineRule="auto" w:line="276" w:before="120" w:after="0"/>
        <w:ind w:hanging="426" w:left="426" w:right="-2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 xml:space="preserve">Wykonawca ma prawo zamieścić materiały ilustracyjne projektu inwestycji, włącznie z fotografiami w zbiorze swoich materiałów promocyjnych i profesjonalnych. </w:t>
      </w:r>
    </w:p>
    <w:p>
      <w:pPr>
        <w:pStyle w:val="Normal"/>
        <w:widowControl w:val="false"/>
        <w:numPr>
          <w:ilvl w:val="0"/>
          <w:numId w:val="19"/>
        </w:numPr>
        <w:spacing w:lineRule="auto" w:line="276" w:before="120" w:after="0"/>
        <w:ind w:hanging="426" w:left="426" w:right="-2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oświadcza, że przekazana Zamawiającemu dokumentacja projektowa wolna jest od wad prawnych.</w:t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cap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cap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cap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cap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cap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cap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cap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caps/>
          <w:kern w:val="0"/>
          <w:sz w:val="24"/>
          <w:szCs w:val="24"/>
          <w:lang w:eastAsia="pl-PL"/>
          <w14:ligatures w14:val="none"/>
        </w:rPr>
        <w:t xml:space="preserve">§ 10 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 xml:space="preserve">Odpowiedzialność </w:t>
      </w:r>
    </w:p>
    <w:p>
      <w:pPr>
        <w:pStyle w:val="Normal"/>
        <w:widowControl w:val="false"/>
        <w:numPr>
          <w:ilvl w:val="0"/>
          <w:numId w:val="9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ponosi odpowiedzialność za szkody wynikłe z wadliwie wykonanej dokumentacji. Odpowiada również za wady budowy wynikłe ze zrealizowania ich na podstawie wadliwego projektu lub wskazówek udzielonych podczas realizowania nadzoru autorskiego. Wykonawca odpowiada także za wszelkie szkody wynikłe z niewłaściwej koordynacji prac projektowych. Odpowiedzialność ta jest niezależna od odpowiedzialności podmiotu wykonującego budowę.</w:t>
      </w:r>
    </w:p>
    <w:p>
      <w:pPr>
        <w:pStyle w:val="Normal"/>
        <w:widowControl w:val="false"/>
        <w:numPr>
          <w:ilvl w:val="0"/>
          <w:numId w:val="9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 zwróci Zamawiającemu koszty, jakie Zamawiający poniósł w związku z wystąpieniem przerw w wykonywanych robotach budowlanych i w związku z likwidacją strat w wykonanych robotach budowlanych, obiektach budowlanych i urządzeniach, jeżeli przerwy te i straty powstały z powodu wad ujawnionych w opracowaniach projektowych wykonanych przez Wykonawcę.</w:t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11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Osoby odpowiedzialne</w:t>
      </w:r>
    </w:p>
    <w:p>
      <w:pPr>
        <w:pStyle w:val="Normal"/>
        <w:widowControl w:val="false"/>
        <w:numPr>
          <w:ilvl w:val="0"/>
          <w:numId w:val="6"/>
        </w:numPr>
        <w:suppressAutoHyphens w:val="true"/>
        <w:overflowPunct w:val="false"/>
        <w:spacing w:lineRule="auto" w:line="276" w:before="120" w:after="0"/>
        <w:ind w:hanging="426" w:left="426"/>
        <w:jc w:val="both"/>
        <w:textAlignment w:val="baseline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Przedstawicielem Zamawiającego uprawnionym do kontaktów i koordynowania prac będzie: ……………………….., tel. ………………….., e-mail: ………………………..</w:t>
      </w:r>
    </w:p>
    <w:p>
      <w:pPr>
        <w:pStyle w:val="Normal"/>
        <w:widowControl w:val="false"/>
        <w:numPr>
          <w:ilvl w:val="0"/>
          <w:numId w:val="6"/>
        </w:numPr>
        <w:suppressAutoHyphens w:val="true"/>
        <w:overflowPunct w:val="false"/>
        <w:spacing w:lineRule="auto" w:line="276" w:before="120" w:after="0"/>
        <w:ind w:hanging="426" w:left="426"/>
        <w:jc w:val="both"/>
        <w:textAlignment w:val="baseline"/>
        <w:rPr>
          <w:rFonts w:ascii="Times New Roman" w:hAnsi="Times New Roman" w:eastAsia="Times New Roman" w:cs="Times New Roman"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Cs/>
          <w:kern w:val="0"/>
          <w:sz w:val="24"/>
          <w:szCs w:val="24"/>
          <w:lang w:eastAsia="pl-PL"/>
          <w14:ligatures w14:val="none"/>
        </w:rPr>
        <w:t>Przedstawicielem Wykonawcy uprawnionym do kontaktów i koordynowania prac będzie: ……………………….., tel. ………………….., e-mail: ………………………..</w:t>
      </w:r>
    </w:p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§ 12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sz w:val="24"/>
          <w:szCs w:val="24"/>
          <w:lang w:eastAsia="pl-PL"/>
          <w14:ligatures w14:val="none"/>
        </w:rPr>
        <w:t>Postanowienia końcowe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 sprawach nieuregulowanych niniejszą umową zastosowanie mają powszechnie obowiązujące przepisy prawa, a w szczególności Kodeksu cywilnego.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Wykonawca, pod rygorem nieważności, nie może bez uprzedniej zgody Zamawiającego przenieść na osoby trzecie wierzytelności wynikających z niniejszej umowy.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Strony ustalają, że ewentualne sprawy sporne przed skierowaniem na drogę sądową będą rozstrzygane na drodze polubownego załatwienia sprawy. Sądem właściwym będzie sąd, w okręgu którego siedzibę posiada Zamawiający.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Wszelkie zmiany w treści niniejszej umowy wymagają zachowania formy pisemnej pod rygorem nieważności.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Integralną część umowy stanowi wypełniony przez Wykonawcę formularz ofertowy wg załącznika nr 1 do zapytania ofertowego.</w:t>
      </w:r>
    </w:p>
    <w:p>
      <w:pPr>
        <w:pStyle w:val="Normal"/>
        <w:numPr>
          <w:ilvl w:val="0"/>
          <w:numId w:val="2"/>
        </w:numPr>
        <w:spacing w:lineRule="auto" w:line="276" w:before="120" w:after="0"/>
        <w:ind w:hanging="426" w:left="426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pl-PL"/>
          <w14:ligatures w14:val="none"/>
        </w:rPr>
        <w:t>Umowę sporządzono w dwóch jednobrzmiących egzemplarzach, po jednym egzemplarzu dla każdej ze Stron.</w:t>
      </w:r>
    </w:p>
    <w:p>
      <w:pPr>
        <w:pStyle w:val="Normal"/>
        <w:spacing w:lineRule="auto" w:line="276" w:before="0" w:after="0"/>
        <w:ind w:firstLine="425"/>
        <w:rPr>
          <w:rFonts w:ascii="Times New Roman" w:hAnsi="Times New Roman" w:eastAsia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</w:r>
    </w:p>
    <w:p>
      <w:pPr>
        <w:pStyle w:val="Normal"/>
        <w:spacing w:lineRule="auto" w:line="276" w:before="0" w:after="0"/>
        <w:ind w:firstLine="425"/>
        <w:rPr>
          <w:rFonts w:ascii="Times New Roman" w:hAnsi="Times New Roman" w:eastAsia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4"/>
          <w:szCs w:val="24"/>
          <w:lang w:eastAsia="pl-PL"/>
          <w14:ligatures w14:val="none"/>
        </w:rPr>
        <w:t xml:space="preserve">ZAMAWIAJĄCY:     </w:t>
        <w:tab/>
        <w:tab/>
        <w:tab/>
        <w:tab/>
        <w:tab/>
        <w:tab/>
        <w:t xml:space="preserve">WYKONAWCA: </w:t>
        <w:tab/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418" w:right="1418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Liberation Sans">
    <w:altName w:val="Arial"/>
    <w:charset w:val="01"/>
    <w:family w:val="swiss"/>
    <w:pitch w:val="default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Times New Roman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</w:r>
  </w:p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isLgl/>
      <w:numFmt w:val="decimal"/>
      <w:lvlText w:val="%1.%2."/>
      <w:lvlJc w:val="left"/>
      <w:pPr>
        <w:tabs>
          <w:tab w:val="num" w:pos="0"/>
        </w:tabs>
        <w:ind w:left="1425" w:hanging="705"/>
      </w:pPr>
      <w:rPr/>
    </w:lvl>
    <w:lvl w:ilvl="2">
      <w:start w:val="1"/>
      <w:isLgl/>
      <w:numFmt w:val="decimal"/>
      <w:lvlText w:val="%1.%2.%3."/>
      <w:lvlJc w:val="left"/>
      <w:pPr>
        <w:tabs>
          <w:tab w:val="num" w:pos="0"/>
        </w:tabs>
        <w:ind w:left="1800" w:hanging="720"/>
      </w:pPr>
      <w:rPr/>
    </w:lvl>
    <w:lvl w:ilvl="3">
      <w:start w:val="1"/>
      <w:isLgl/>
      <w:numFmt w:val="decimal"/>
      <w:lvlText w:val="%1.%2.%3.%4."/>
      <w:lvlJc w:val="left"/>
      <w:pPr>
        <w:tabs>
          <w:tab w:val="num" w:pos="0"/>
        </w:tabs>
        <w:ind w:left="2160" w:hanging="720"/>
      </w:pPr>
      <w:rPr/>
    </w:lvl>
    <w:lvl w:ilvl="4">
      <w:start w:val="1"/>
      <w:isLgl/>
      <w:numFmt w:val="decimal"/>
      <w:lvlText w:val="%1.%2.%3.%4.%5."/>
      <w:lvlJc w:val="left"/>
      <w:pPr>
        <w:tabs>
          <w:tab w:val="num" w:pos="0"/>
        </w:tabs>
        <w:ind w:left="2880" w:hanging="1080"/>
      </w:pPr>
      <w:rPr/>
    </w:lvl>
    <w:lvl w:ilvl="5">
      <w:start w:val="1"/>
      <w:isLgl/>
      <w:numFmt w:val="decimal"/>
      <w:lvlText w:val="%1.%2.%3.%4.%5.%6."/>
      <w:lvlJc w:val="left"/>
      <w:pPr>
        <w:tabs>
          <w:tab w:val="num" w:pos="0"/>
        </w:tabs>
        <w:ind w:left="3240" w:hanging="1080"/>
      </w:pPr>
      <w:rPr/>
    </w:lvl>
    <w:lvl w:ilvl="6">
      <w:start w:val="1"/>
      <w:isLgl/>
      <w:numFmt w:val="decimal"/>
      <w:lvlText w:val="%1.%2.%3.%4.%5.%6.%7."/>
      <w:lvlJc w:val="left"/>
      <w:pPr>
        <w:tabs>
          <w:tab w:val="num" w:pos="0"/>
        </w:tabs>
        <w:ind w:left="3960" w:hanging="1440"/>
      </w:pPr>
      <w:rPr/>
    </w:lvl>
    <w:lvl w:ilvl="7">
      <w:start w:val="1"/>
      <w:isLgl/>
      <w:numFmt w:val="decimal"/>
      <w:lvlText w:val="%1.%2.%3.%4.%5.%6.%7.%8."/>
      <w:lvlJc w:val="left"/>
      <w:pPr>
        <w:tabs>
          <w:tab w:val="num" w:pos="0"/>
        </w:tabs>
        <w:ind w:left="4320" w:hanging="1440"/>
      </w:pPr>
      <w:rPr/>
    </w:lvl>
    <w:lvl w:ilvl="8">
      <w:start w:val="1"/>
      <w:isLgl/>
      <w:numFmt w:val="decimal"/>
      <w:lvlText w:val="%1.%2.%3.%4.%5.%6.%7.%8.%9."/>
      <w:lvlJc w:val="left"/>
      <w:pPr>
        <w:tabs>
          <w:tab w:val="num" w:pos="0"/>
        </w:tabs>
        <w:ind w:left="5040" w:hanging="180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bCs w:val="false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  <w:rPr/>
    </w:lvl>
    <w:lvl w:ilvl="3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  <w:rPr/>
    </w:lvl>
    <w:lvl w:ilvl="6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rFonts w:ascii="Times New Roman" w:hAnsi="Times New Roman"/>
      </w:rPr>
    </w:lvl>
    <w:lvl w:ilvl="1">
      <w:start w:val="1"/>
      <w:isLgl/>
      <w:numFmt w:val="decimal"/>
      <w:lvlText w:val="%1.%2"/>
      <w:lvlJc w:val="left"/>
      <w:pPr>
        <w:tabs>
          <w:tab w:val="num" w:pos="0"/>
        </w:tabs>
        <w:ind w:left="1429" w:hanging="720"/>
      </w:pPr>
      <w:rPr/>
    </w:lvl>
    <w:lvl w:ilvl="2">
      <w:start w:val="1"/>
      <w:isLgl/>
      <w:numFmt w:val="decimal"/>
      <w:lvlText w:val="%1.%2.%3"/>
      <w:lvlJc w:val="left"/>
      <w:pPr>
        <w:tabs>
          <w:tab w:val="num" w:pos="0"/>
        </w:tabs>
        <w:ind w:left="1778" w:hanging="720"/>
      </w:pPr>
      <w:rPr/>
    </w:lvl>
    <w:lvl w:ilvl="3">
      <w:start w:val="1"/>
      <w:isLgl/>
      <w:numFmt w:val="decimal"/>
      <w:lvlText w:val="%1.%2.%3.%4"/>
      <w:lvlJc w:val="left"/>
      <w:pPr>
        <w:tabs>
          <w:tab w:val="num" w:pos="0"/>
        </w:tabs>
        <w:ind w:left="2127" w:hanging="720"/>
      </w:pPr>
      <w:rPr/>
    </w:lvl>
    <w:lvl w:ilvl="4">
      <w:start w:val="1"/>
      <w:isLgl/>
      <w:numFmt w:val="decimal"/>
      <w:lvlText w:val="%1.%2.%3.%4.%5"/>
      <w:lvlJc w:val="left"/>
      <w:pPr>
        <w:tabs>
          <w:tab w:val="num" w:pos="0"/>
        </w:tabs>
        <w:ind w:left="2836" w:hanging="1080"/>
      </w:pPr>
      <w:rPr/>
    </w:lvl>
    <w:lvl w:ilvl="5">
      <w:start w:val="1"/>
      <w:isLgl/>
      <w:numFmt w:val="decimal"/>
      <w:lvlText w:val="%1.%2.%3.%4.%5.%6"/>
      <w:lvlJc w:val="left"/>
      <w:pPr>
        <w:tabs>
          <w:tab w:val="num" w:pos="0"/>
        </w:tabs>
        <w:ind w:left="3185" w:hanging="1080"/>
      </w:pPr>
      <w:rPr/>
    </w:lvl>
    <w:lvl w:ilvl="6">
      <w:start w:val="1"/>
      <w:isLgl/>
      <w:numFmt w:val="decimal"/>
      <w:lvlText w:val="%1.%2.%3.%4.%5.%6.%7"/>
      <w:lvlJc w:val="left"/>
      <w:pPr>
        <w:tabs>
          <w:tab w:val="num" w:pos="0"/>
        </w:tabs>
        <w:ind w:left="3894" w:hanging="1440"/>
      </w:pPr>
      <w:rPr/>
    </w:lvl>
    <w:lvl w:ilvl="7">
      <w:start w:val="1"/>
      <w:isLgl/>
      <w:numFmt w:val="decimal"/>
      <w:lvlText w:val="%1.%2.%3.%4.%5.%6.%7.%8"/>
      <w:lvlJc w:val="left"/>
      <w:pPr>
        <w:tabs>
          <w:tab w:val="num" w:pos="0"/>
        </w:tabs>
        <w:ind w:left="4243" w:hanging="1440"/>
      </w:pPr>
      <w:rPr/>
    </w:lvl>
    <w:lvl w:ilvl="8">
      <w:start w:val="1"/>
      <w:isLgl/>
      <w:numFmt w:val="decimal"/>
      <w:lvlText w:val="%1.%2.%3.%4.%5.%6.%7.%8.%9"/>
      <w:lvlJc w:val="left"/>
      <w:pPr>
        <w:tabs>
          <w:tab w:val="num" w:pos="0"/>
        </w:tabs>
        <w:ind w:left="4952" w:hanging="1800"/>
      </w:pPr>
      <w:rPr/>
    </w:lvl>
  </w:abstractNum>
  <w:abstractNum w:abstractNumId="11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/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14"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  <w:rPr/>
    </w:lvl>
  </w:abstractNum>
  <w:abstractNum w:abstractNumId="15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6"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16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  <w:rPr/>
    </w:lvl>
  </w:abstractNum>
  <w:abstractNum w:abstractNumId="17">
    <w:lvl w:ilvl="0">
      <w:start w:val="1"/>
      <w:numFmt w:val="bullet"/>
      <w:lvlText w:val=""/>
      <w:lvlJc w:val="left"/>
      <w:pPr>
        <w:tabs>
          <w:tab w:val="num" w:pos="0"/>
        </w:tabs>
        <w:ind w:left="645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0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96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5" w:hanging="180"/>
      </w:pPr>
      <w:rPr>
        <w:rFonts w:cs="Times New Roman"/>
      </w:rPr>
    </w:lvl>
  </w:abstractNum>
  <w:abstractNum w:abstractNumId="18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9">
    <w:lvl w:ilvl="0">
      <w:start w:val="5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/>
    </w:lvl>
    <w:lvl w:ilvl="2">
      <w:start w:val="0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/>
    </w:lvl>
  </w:abstractNum>
  <w:abstractNum w:abstractNumId="2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4"/>
        <w:i w:val="false"/>
        <w:b w:val="false"/>
        <w:szCs w:val="24"/>
        <w:rFonts w:ascii="Times New Roman" w:hAnsi="Times New Roman"/>
      </w:rPr>
    </w:lvl>
    <w:lvl w:ilvl="1">
      <w:start w:val="1"/>
      <w:isLgl/>
      <w:numFmt w:val="decimal"/>
      <w:lvlText w:val="%1.%2"/>
      <w:lvlJc w:val="left"/>
      <w:pPr>
        <w:tabs>
          <w:tab w:val="num" w:pos="0"/>
        </w:tabs>
        <w:ind w:left="1429" w:hanging="720"/>
      </w:pPr>
      <w:rPr/>
    </w:lvl>
    <w:lvl w:ilvl="2">
      <w:start w:val="1"/>
      <w:isLgl/>
      <w:numFmt w:val="decimal"/>
      <w:lvlText w:val="%1.%2.%3"/>
      <w:lvlJc w:val="left"/>
      <w:pPr>
        <w:tabs>
          <w:tab w:val="num" w:pos="0"/>
        </w:tabs>
        <w:ind w:left="1778" w:hanging="720"/>
      </w:pPr>
      <w:rPr/>
    </w:lvl>
    <w:lvl w:ilvl="3">
      <w:start w:val="1"/>
      <w:isLgl/>
      <w:numFmt w:val="decimal"/>
      <w:lvlText w:val="%1.%2.%3.%4"/>
      <w:lvlJc w:val="left"/>
      <w:pPr>
        <w:tabs>
          <w:tab w:val="num" w:pos="0"/>
        </w:tabs>
        <w:ind w:left="2127" w:hanging="720"/>
      </w:pPr>
      <w:rPr/>
    </w:lvl>
    <w:lvl w:ilvl="4">
      <w:start w:val="1"/>
      <w:isLgl/>
      <w:numFmt w:val="decimal"/>
      <w:lvlText w:val="%1.%2.%3.%4.%5"/>
      <w:lvlJc w:val="left"/>
      <w:pPr>
        <w:tabs>
          <w:tab w:val="num" w:pos="0"/>
        </w:tabs>
        <w:ind w:left="2836" w:hanging="1080"/>
      </w:pPr>
      <w:rPr/>
    </w:lvl>
    <w:lvl w:ilvl="5">
      <w:start w:val="1"/>
      <w:isLgl/>
      <w:numFmt w:val="decimal"/>
      <w:lvlText w:val="%1.%2.%3.%4.%5.%6"/>
      <w:lvlJc w:val="left"/>
      <w:pPr>
        <w:tabs>
          <w:tab w:val="num" w:pos="0"/>
        </w:tabs>
        <w:ind w:left="3185" w:hanging="1080"/>
      </w:pPr>
      <w:rPr/>
    </w:lvl>
    <w:lvl w:ilvl="6">
      <w:start w:val="1"/>
      <w:isLgl/>
      <w:numFmt w:val="decimal"/>
      <w:lvlText w:val="%1.%2.%3.%4.%5.%6.%7"/>
      <w:lvlJc w:val="left"/>
      <w:pPr>
        <w:tabs>
          <w:tab w:val="num" w:pos="0"/>
        </w:tabs>
        <w:ind w:left="3894" w:hanging="1440"/>
      </w:pPr>
      <w:rPr/>
    </w:lvl>
    <w:lvl w:ilvl="7">
      <w:start w:val="1"/>
      <w:isLgl/>
      <w:numFmt w:val="decimal"/>
      <w:lvlText w:val="%1.%2.%3.%4.%5.%6.%7.%8"/>
      <w:lvlJc w:val="left"/>
      <w:pPr>
        <w:tabs>
          <w:tab w:val="num" w:pos="0"/>
        </w:tabs>
        <w:ind w:left="4243" w:hanging="1440"/>
      </w:pPr>
      <w:rPr/>
    </w:lvl>
    <w:lvl w:ilvl="8">
      <w:start w:val="1"/>
      <w:isLgl/>
      <w:numFmt w:val="decimal"/>
      <w:lvlText w:val="%1.%2.%3.%4.%5.%6.%7.%8.%9"/>
      <w:lvlJc w:val="left"/>
      <w:pPr>
        <w:tabs>
          <w:tab w:val="num" w:pos="0"/>
        </w:tabs>
        <w:ind w:left="4952" w:hanging="1800"/>
      </w:pPr>
      <w:rPr/>
    </w:lvl>
  </w:abstractNum>
  <w:abstractNum w:abstractNumId="2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w="http://schemas.openxmlformats.org/wordprocessingml/2006/main">
  <w:zoom w:percent="100"/>
  <w:defaultTabStop w:val="708"/>
  <w:mailMerge>
    <w:mainDocumentType w:val="formLetters"/>
    <w:dataType w:val="textFile"/>
    <w:query w:val="SELECT * FROM lista_upowaznien.dbo.upowaznienia$"/>
  </w:mailMerge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  <w:docVars>
    <w:docVar w:name="LE_Links" w:val="{E9812E18-03C2-430D-B1AF-E6D3A6521F40}"/>
  </w:docVars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uiPriority w:val="99"/>
    <w:qFormat/>
    <w:rsid w:val="00344d9b"/>
    <w:rPr>
      <w:rFonts w:ascii="Times New Roman" w:hAnsi="Times New Roman" w:eastAsia="Times New Roman" w:cs="Times New Roman"/>
      <w:kern w:val="0"/>
      <w:sz w:val="24"/>
      <w:szCs w:val="24"/>
      <w:lang w:val="x-none" w:eastAsia="x-none"/>
      <w14:ligatures w14:val="none"/>
    </w:rPr>
  </w:style>
  <w:style w:type="character" w:styleId="markedcontent" w:customStyle="1">
    <w:name w:val="markedcontent"/>
    <w:basedOn w:val="DefaultParagraphFont"/>
    <w:qFormat/>
    <w:rsid w:val="001b22b5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4b7ba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d753b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9d753b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9d753b"/>
    <w:rPr>
      <w:b/>
      <w:bCs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Normal"/>
    <w:link w:val="StopkaZnak"/>
    <w:uiPriority w:val="99"/>
    <w:unhideWhenUsed/>
    <w:rsid w:val="00344d9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>
      <w:rFonts w:ascii="Times New Roman" w:hAnsi="Times New Roman" w:eastAsia="Times New Roman" w:cs="Times New Roman"/>
      <w:kern w:val="0"/>
      <w:sz w:val="24"/>
      <w:szCs w:val="24"/>
      <w:lang w:val="x-none" w:eastAsia="x-none"/>
      <w14:ligatures w14:val="none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b7ba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4e2d"/>
    <w:pPr>
      <w:spacing w:before="0" w:after="160"/>
      <w:ind w:left="720"/>
      <w:contextualSpacing/>
    </w:pPr>
    <w:rPr/>
  </w:style>
  <w:style w:type="paragraph" w:styleId="CommentText">
    <w:name w:val="annotation text"/>
    <w:basedOn w:val="Normal"/>
    <w:link w:val="TekstkomentarzaZnak"/>
    <w:uiPriority w:val="99"/>
    <w:unhideWhenUsed/>
    <w:rsid w:val="009d753b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9d753b"/>
    <w:pPr/>
    <w:rPr>
      <w:b/>
      <w:bCs/>
    </w:rPr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ArrayOfDocumentLink xmlns:xsd="http://www.w3.org/2001/XMLSchema" xmlns:xsi="http://www.w3.org/2001/XMLSchema-instance"/>
</file>

<file path=customXml/itemProps1.xml><?xml version="1.0" encoding="utf-8"?>
<ds:datastoreItem xmlns:ds="http://schemas.openxmlformats.org/officeDocument/2006/customXml" ds:itemID="{E9812E18-03C2-430D-B1AF-E6D3A6521F4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LibreOffice/25.2.4.3$Linux_X86_64 LibreOffice_project/33e196637044ead23f5c3226cde09b47731f7e27</Application>
  <AppVersion>15.0000</AppVersion>
  <Pages>9</Pages>
  <Words>3030</Words>
  <Characters>20121</Characters>
  <CharactersWithSpaces>23053</CharactersWithSpaces>
  <Paragraphs>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2026-02-04T15:10:08Z</dcterms:created>
  <dc:creator/>
  <dc:description/>
  <dc:language>pl-PL</dc:language>
  <cp:lastModifiedBy/>
  <dcterms:modified xsi:type="dcterms:W3CDTF">2026-02-04T15:10:10Z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